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64" w:rsidRDefault="0077483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На основу члана 14. тачка 2. Закона о архивској грађи и архивској делатности („Службени гласник РС“, бр. 6/20</w:t>
      </w:r>
      <w:r w:rsidR="001D462B">
        <w:rPr>
          <w:rFonts w:ascii="Times New Roman" w:eastAsia="Times New Roman" w:hAnsi="Times New Roman" w:cs="Times New Roman"/>
          <w:color w:val="000000"/>
        </w:rPr>
        <w:t>20), члана 119. став 1. тачка 1.</w:t>
      </w:r>
      <w:r>
        <w:rPr>
          <w:rFonts w:ascii="Times New Roman" w:eastAsia="Times New Roman" w:hAnsi="Times New Roman" w:cs="Times New Roman"/>
          <w:color w:val="000000"/>
        </w:rPr>
        <w:t xml:space="preserve"> Закона о основама система образовања и васпитања („Службени гласник РС“, бр. 88/2017, 10/2019, 27/2018-др. закони </w:t>
      </w:r>
      <w:r w:rsidR="001D462B">
        <w:rPr>
          <w:rFonts w:ascii="Times New Roman" w:eastAsia="Times New Roman" w:hAnsi="Times New Roman" w:cs="Times New Roman"/>
          <w:color w:val="000000"/>
        </w:rPr>
        <w:t>и 6/2020) и члана 44</w:t>
      </w:r>
      <w:r>
        <w:rPr>
          <w:rFonts w:ascii="Times New Roman" w:eastAsia="Times New Roman" w:hAnsi="Times New Roman" w:cs="Times New Roman"/>
          <w:color w:val="000000"/>
        </w:rPr>
        <w:t>. став</w:t>
      </w:r>
      <w:r w:rsidR="001D462B">
        <w:rPr>
          <w:rFonts w:ascii="Times New Roman" w:eastAsia="Times New Roman" w:hAnsi="Times New Roman" w:cs="Times New Roman"/>
          <w:color w:val="000000"/>
        </w:rPr>
        <w:t xml:space="preserve"> 1. тачка 1) Статута, Алексиначке гимназије у Алексинцу, дел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1D462B">
        <w:rPr>
          <w:rFonts w:ascii="Times New Roman" w:eastAsia="Times New Roman" w:hAnsi="Times New Roman" w:cs="Times New Roman"/>
          <w:color w:val="000000"/>
          <w:lang w:val="sr-Cyrl-BA"/>
        </w:rPr>
        <w:t>бр.</w:t>
      </w:r>
      <w:r w:rsidR="001D462B">
        <w:rPr>
          <w:rFonts w:ascii="Times New Roman" w:eastAsia="Times New Roman" w:hAnsi="Times New Roman" w:cs="Times New Roman"/>
          <w:color w:val="000000"/>
        </w:rPr>
        <w:t>, Школски одбор Аллексиначке гимназије у Алексинцу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AD26FA">
        <w:rPr>
          <w:rFonts w:ascii="Times New Roman" w:eastAsia="Times New Roman" w:hAnsi="Times New Roman" w:cs="Times New Roman"/>
          <w:color w:val="000000"/>
        </w:rPr>
        <w:t xml:space="preserve"> на седници одржаној дана .04</w:t>
      </w:r>
      <w:r>
        <w:rPr>
          <w:rFonts w:ascii="Times New Roman" w:eastAsia="Times New Roman" w:hAnsi="Times New Roman" w:cs="Times New Roman"/>
          <w:color w:val="000000"/>
        </w:rPr>
        <w:t>.2021. године, доноси</w:t>
      </w:r>
    </w:p>
    <w:p w:rsidR="00452764" w:rsidRDefault="0045276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452764" w:rsidRDefault="0045276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52764" w:rsidRDefault="0077483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ЛИСТУ КАТЕГОРИЈА</w:t>
      </w:r>
    </w:p>
    <w:p w:rsidR="00452764" w:rsidRDefault="0077483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АРХИВСКЕ ГРАЂЕ И ДОКУМЕНТАРНОГ МАТЕРИЈАЛА СА РОКОВИМА ЧУВАЊА</w:t>
      </w:r>
    </w:p>
    <w:p w:rsidR="00452764" w:rsidRDefault="00774834">
      <w:pPr>
        <w:widowControl/>
        <w:pBdr>
          <w:top w:val="nil"/>
          <w:left w:val="nil"/>
          <w:bottom w:val="nil"/>
          <w:right w:val="nil"/>
          <w:between w:val="nil"/>
        </w:pBdr>
        <w:spacing w:before="23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која се односи на архивску грађу и документарни материјал настао од оснивања ствараоца/имаоца архивске грађе и документарног материјала и који ће настајати убудуће. </w:t>
      </w:r>
      <w:r>
        <w:rPr>
          <w:rFonts w:ascii="Times New Roman" w:eastAsia="Times New Roman" w:hAnsi="Times New Roman" w:cs="Times New Roman"/>
          <w:b/>
          <w:color w:val="000000"/>
        </w:rPr>
        <w:t>Листа категорија архивске грађе и документарног материјал</w:t>
      </w:r>
      <w:r w:rsidR="001D462B">
        <w:rPr>
          <w:rFonts w:ascii="Times New Roman" w:eastAsia="Times New Roman" w:hAnsi="Times New Roman" w:cs="Times New Roman"/>
          <w:b/>
          <w:color w:val="000000"/>
        </w:rPr>
        <w:t>а са роковима чувања Алексиначке гимназије у Алексинцу,</w:t>
      </w:r>
      <w:r>
        <w:rPr>
          <w:rFonts w:ascii="Times New Roman" w:eastAsia="Times New Roman" w:hAnsi="Times New Roman" w:cs="Times New Roman"/>
          <w:color w:val="000000"/>
        </w:rPr>
        <w:t xml:space="preserve"> садржи следеће категорије архивске грађе и документарног материјала и рокове њиховог чувања:</w:t>
      </w:r>
    </w:p>
    <w:p w:rsidR="00452764" w:rsidRDefault="00452764">
      <w:pPr>
        <w:widowControl/>
        <w:pBdr>
          <w:top w:val="nil"/>
          <w:left w:val="nil"/>
          <w:bottom w:val="nil"/>
          <w:right w:val="nil"/>
          <w:between w:val="nil"/>
        </w:pBdr>
        <w:spacing w:before="235"/>
        <w:jc w:val="both"/>
        <w:rPr>
          <w:rFonts w:ascii="Times New Roman" w:eastAsia="Times New Roman" w:hAnsi="Times New Roman" w:cs="Times New Roman"/>
          <w:color w:val="000000"/>
        </w:rPr>
      </w:pPr>
    </w:p>
    <w:p w:rsidR="00452764" w:rsidRDefault="00452764">
      <w:pPr>
        <w:widowControl/>
        <w:spacing w:after="216"/>
        <w:rPr>
          <w:sz w:val="2"/>
          <w:szCs w:val="2"/>
        </w:rPr>
      </w:pPr>
    </w:p>
    <w:tbl>
      <w:tblPr>
        <w:tblStyle w:val="a"/>
        <w:tblW w:w="8080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5103"/>
        <w:gridCol w:w="1417"/>
      </w:tblGrid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Ред бр.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Класи. ознака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83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Садржај - врста 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Рок чувања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3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23" w:firstLine="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Предмети који се односе на оснивање и организацију рада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 (самоуоправни споразум, одлука или уговор) о оснивању, припајању и друге статусне промене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Решење о оснивању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9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Пријава надлежним органима о почетку пословања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Предмети у вези уписа у судски регистар код надлежног суда и осталих надлежних органа (пријава уписа, промена назива, промена и проширење делатности, промена лица овлашћеног за заступање, промена и иступање оснивача, промена података у регистру и др.)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Решење о укњижби и коришћењу грађевинског земљишта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Захтев и пријава за отварање жиро рачуна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Захтев и картон депонованих потписа овлашћених лица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Захтев за отварање фаха код надлежне поште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4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Предлог и решења о постављању директора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4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Решења о плаћању доприноса за коришћење грађевинског земљишта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1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418" w:firstLine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Правни и општи послови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418" w:firstLine="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Перспективни планови, програми развоја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Годишњи планови, програми развоја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Извештаји о извршењу планова и програма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Годишњи статистички извештај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 радне снаге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Извештај надлежном органу о руководећем кадру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Извештај о броју радника по квалификацијама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Дипломе, плакете и друга јавна признања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Наредбе директора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Одлуке директора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92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Поздрави, јубилеји, честитке, захвалнице (и сви материјали у вези са тим)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Уговори о закупу пословних просторија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Материјали у вези санације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Годишњи план обезбеђења и противпожарне заштите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Захтев надлежним органима за упућивање радне снаге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Парнични и управни предмети (по окончању поступка)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Записници комуналних инспекција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Акта о осигурању лица и имовине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hanging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Акта - овлашћење за потписивање полисе осигурања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Расписи, обавештења, саопштења и сл., добијени од других органа и организација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Уговори о делу, о ауторском хонорару, о грађанско-правном односу и други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Правилници и друга општа акта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Статут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4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Правилник о организацији и систематизацији послова и радних задатака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Правилник о радним односима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Колективни уговори (општи, посебни, појединачни)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Правилник о стицању и расподели дохотка и личних доходака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Нормативна акта установе, пословници о раду Школског одбора, Наставничког већа, Савета родитеља и Ученичког парламента и остали Правилници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IV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Предмети који се односе на рад органа управљања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Записници о избору и конституисању органа управљања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Програми рада и извештаји органа управљања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Записници и одлуке Стручног савета или колегијума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Документација у вези избора директора и реизборности директора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Предмети у вези избора органа управљања: одлуке, извештаји, остали материјали који се односе на избор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Стручни скупови  (симпозијуми, саветовања, семинари и др.)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Програми рада и записници са материјалима и закључцима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Материјали са стручних скупова које организују други органи и организације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4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Предмети који се односе на заснивање и престанак радног односа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Матична књига радника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Персонална досијеа радника - активна и пасивна (радна књижица, молба за заснивање радног односа, сведочанство, извод из матичне књиге рођених, доказ о испуњавању посебних услова за одређено радно место, лекарско уверење, решење о распоређивању за радно место и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ЛД,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решење о престанку радног односа, пријава осигурања осигураника и чланова породице, остала уверења, потврде и сл. у вези радног односа)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година, осим код значајних личности (научпика, уметника, спортиста, директора, итд.)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Остале персоналне евиденције (изостанци, закашњења, боловања итд.)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Предмети у вези спровођења конкурса за слободна радна места: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одлука о расписивању конкурса - огласа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текст конкурса - огласа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пријава по конкурсу - огласу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записници конкурсне комисије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обавештења кандидатима о избору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приговор кандидата на избор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0"/>
              </w:tabs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остали материјали везани за спровођење конкурса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Преписка са заједницама за запошљавање: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пријава слободних радних места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извештај о попуни радних места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пријаве радника о ступању на рад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одјаве радника по престанку рада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попуњени упитници Заједнице за запошљавање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Материјали везани за расписивање интерних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Предмети у вези радног времена, одмора,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одсуства и боловања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Решења о прековременом раду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Молбе и решења о коришћењу годишњег одмора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Молбе и решења о плаћеном и неплаћеном одсуству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 коришћења годишњег одмора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Решења о коришћењу породиљског одсуства - боловања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Евиденција одсуствовања са рада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Решење о замењивању за време одсуства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Остала преписка у вези радног времена, одмора, одсуствовања и боловања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Предмети у вези социјалног, инвалидског и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пензионог осигурања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Евиденција о пријавама и одјавама радника код Завода - СиЗ-а - Фондова за пензијско, инвалидско и социјално осигурање и промени података у евиденцијама. Обрасци: М1 - Пријава на осигурање; М1/СЗ - Пријава на осигурање; М2 - Одјава осигурања; М2/СЗ - Одјава осигурања; М1К - Одјава - пријава осигурања за више лица; МЗ - Пријава промена у току осигурања; МЗ/СЗ - Пријава промена у току осигурања; М4 - Пријава података за утврђивање стажа осигурања и зараде, односно основица осигурања; М4/СЗ - Пријава података за утврђивање стажа осигурања и зараде, односно основица осигурања;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М4К - Пријава података за утврђивање стажа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осигурања и зараде, односно основица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осигурања за више лица;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М6 - Пријава података за утврђивање стажа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осигурања и зараде остварене примањем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новчаних накнада по основу инвалидског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осигурња;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М7/ПС - Пријава података о утврђеном пензијском стажу;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М8 - Пријава промене података за утврђивање стажа осигурања и зараде, односно основице осигурања;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М10 - Пријава промене података за утврђивање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стажа осигурања и зараде остварене примањем новчаних накнада по основу инвалидског осигурања.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Списак издатих здравствених књижица.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Остала преписка везана за остваривање права из социјалног и инвалидског и пензијског осигурања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firstLine="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Предмети у вези заштите на раду (БЗР, ППЗ и др.)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 мера заштите на раду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 обучавања радника из области заштите на раду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Евиденција повреда на раду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Пријава повреда радника на раду надлежним органима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Записници и решења инспекције рада о обезбеђењу прописаних услова рада, коришћењу прописаних заштитних средстава на раду, отклањање нађених недостатака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Записници о прегледу и обезбеђењу објеката од пожара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Записници о повредама на раду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Материјали у вези са одржавањем и обезбеђењем машина, уређаја и постројења (атести, гарантни листови, упутства за руковање и остала документација)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Материјали у вези обуке радника за руковање противпожарним и другим апаратима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Остале преписке везане за област заштите на раду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Предмети у вези дисциплинске и материјалне одговорности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Решења о именовању дисциплинске комисије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Предмети у вези покретања дисциплинског поступка:</w:t>
            </w:r>
          </w:p>
          <w:p w:rsidR="00452764" w:rsidRDefault="0077483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Захтев/закључак директора за покретање поступка повреде радне дужности,</w:t>
            </w:r>
          </w:p>
          <w:p w:rsidR="00452764" w:rsidRDefault="0077483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Записници о саслушању,</w:t>
            </w:r>
          </w:p>
          <w:p w:rsidR="00452764" w:rsidRDefault="0077483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Позиви на расправу,</w:t>
            </w:r>
          </w:p>
          <w:p w:rsidR="00452764" w:rsidRDefault="0077483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Изјаве,</w:t>
            </w:r>
          </w:p>
          <w:p w:rsidR="00452764" w:rsidRDefault="0077483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Изрицање мере и доношење решења – одлуке о кажњавању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XI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Предмети који се односе на стручно образовање, стручне испите, специјализацију, преквалификацију, стручну праксу, курсеве, семинаре итд.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87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Евиденције радника којима је призната стручна спрема (оспособљеност)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099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Предмети везани за специјализацију и преквалификацију радника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Одлуке и решења о оснивању курсева за стручно оспособљавање радника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Програми курсева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Остала преписка везана за стручно усавршавање радника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96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Молбе за признавање трошкова стручних испита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Материјали у вези учешћа на семинарима и саветовањима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XII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4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Предмети који се односе на инвестиције, техничке елаборате, изградњу и адаптацију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Елаборати о планирању и инвестирању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Перспективни планови (средњорочни)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Одлуке о изградњи инвестиционих објеката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Урбанистичко технички услови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Сагласност надлежних органа на пројекат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Решења о одобрењу градње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Пројектни задатак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Уговор о пројектовању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Уговор о градњи - извођењу радова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Техничка документација свих објеката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Употребна дозвола са записником о техничком прегледу објекта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Техничка документација која се односи на инвестициона средства и станове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941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Материјали у вези поправке, адаптације и одржавање зграде и објеката (понуде, ситуације, уговори о раду, записници о пријему радова и остала преписка)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Понуде извођача радова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Материјали у вези одржавања и поправки електроинсталација, водоводних инсталација, инсталација грејања, телефонске инсталације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XIII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Канцеларијско и архивско пословање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Правилник о канцеларијском пословању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Деловодници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Регистри уз деловодник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Попис аката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Архивска књига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Листа категорија архивске грађе и документарног материјала са роковима чувања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hanging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Документа о одабирању архивске грађе и уништавању документарног материјала коме је истекао рок чувања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Записници о прегледу архивске грађе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Записпици о прегледу начина вођења канцеларијског пословања од стране надлежних органа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Записници о примопредаји документације (са прилозима)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Списак штамбиља и печата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Записници о примопредаји дужности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54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Решења о одређивању плана архивских ознака за архивирање свршених 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Преписка по деловоднику (пречишћена)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Контролник поштарине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Доставна књига за место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Књига експедоване поште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Остале помоћне евиденције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Реверси на примљене материјале из архиве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Пуномоћја и овлашћења за подизање поштанских пошиљки, за преузимање извода и других материјала од банке, за набавке и сл.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326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Повратна писма у прилогу којих се достављају разни захтеви за уплате, исплате, повраћај, сагласности, одобрења и извештаји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Копије гарантних писама, захтева и наруџбина за набавке репродукционог материјала, ситног инвентара, потрошног материјала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Разне копије потврда, уверења, решења и гласачки материјал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XIV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Финансијско-материјално пословање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Завршни рачун са прилозима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Књига основних средстава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Основна средства (картице)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Картони личног дохотка и образац М-4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Платни спискови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Периодични обрачуни и други привремени обрачуни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Исплатне листе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Обрачун пореза и доприноса из зарада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Главна књига синтетике (финансијске картице)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Дневник главне књиге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Финансијски план (годишњи)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Књига улазних рачуна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Књига излазних рачуна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Аналитика купаца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Аналитика добављача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Остале аналитике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792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Платни налози, опомене за исплату дуга, решења о извршењу и слично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Потрошачки кредити (решења, забране)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Робно материјално књиговодство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Материјалне картице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Пописне листе (основних средстава, сировина и материјала и ситног инвентара)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Евиденције о плаћању вирманом (налози и сл.)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Евиденција превоза радника и ученика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Обрачуни амортизације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Ревалоризације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Дознаке боловања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Изводи банке – динарски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Благајна – динарска и девизна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Налози за књижење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Налози за обрачун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Налози за исплату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Налози и захтеви за рефундацију ЛД, накнаду ЛД и боловање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Излазни рачуни с ПДВ-ом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Улазни рачуни с ПДВ-ом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Путни рачуни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Сумњива и спорна потраживања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Наплате и уплате купаца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Полисе осигурања имовине и моторних возила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Финансијска преписка са купцима и добављачима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Закључнице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Пријемнице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Поруџбенице и изјаве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Доставнице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Отпремнице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Аванси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Стање купаца и добављача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Путни налази за возила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Изводи отворених ставки (ИОС); сагласност салда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Реализоване јавне набавке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Нереализоване јавне набавке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XV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Општенародна одбрана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Планови одбране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Планови за ванредне прилике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Записници о инспекцијском прегледу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Дописи са надлежним органима у вези финансирања измена и усклађивања планова, образаца, шема и других докумената, обуке кадра и других активности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XVI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Педагошка документација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Записници и одлуке Школског одбора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Записници и одлуке Наставничког већа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Записници и одлуке Одељењског већа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Наредбе директора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Записници и одлуке Савета родитеља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Записници Ученичког парламента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Записници стручних актива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Матична књига ученика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Регистар уз Матичну књигу ученика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Годишњи програм рада школе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Извештај о раду школе и раду директора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Записници о инспекцијском прегледу школе са решењима за предузимање мера за отклањање уочених недостатака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Евиденција о увођењу иновација у настави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Летопис школе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Монографија школе (1 примерак)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Школски-ученички листови (1 примерак)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Евиденција о наставним средствима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Спискови деце уписане у први разред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Списак чланова Савета родитеља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Евиденција о уписаним и исписаним ученицима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Евиденција (сва решења) за ученике специјалних одељења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Књига завршних испита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Евиденција о издатим сведочанствима о завршеном разреду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Евиденција издатих дупликата јавних исправа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Неподигнута сведочанства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Документација у вези издавања дупликата јавних исправа (захтеви, потврде о оглашавању јавних исправа неважећим у Службеном гласнику и др.)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Евиденције издатих диплома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Школска такмичења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Евиденција о награђеним и похваљеним ученицима, награђеним радовима ученика на такмичењима у школи и ван 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Документација о бржем напредовању ученика (захтеви, мишљења комисије, одлуке и друго)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Документација у вези учења страног језика у школи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(одлуке, сагласност Министарства просвете и др.)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Документација у вези увођења предметне наставе у трећем и четвртом разреду  (одлуке, мишљења Наставничког већа)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Одлуке о употреби уџбеника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Досијеи ученика (психолошка)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Разредне књиге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Записници о полагању завршних и поправних испита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Документација у вези приговора на оцене ученика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Статистички подаци о бројном стању ученика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трајно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Спискови ученика по одељењима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Примљени и послати захтеви за издавање преводница, примљени извештаји о извршеном упису ученика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Документација у вези изучавања изборних предмета (одлуке, мишљења и др.)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Књига праћења развоја и напредовања ученика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Евиденција о обављеним систематским прегледима, извештаји о систематским прегледима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Документација у вези извршених мерења физичких способности ученика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Социометријска испитивања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година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Документација о рекреативној настави и екскурзијама ученика (одлуке, планови, извештаји и др.)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година</w:t>
            </w:r>
          </w:p>
        </w:tc>
      </w:tr>
      <w:tr w:rsidR="00452764">
        <w:trPr>
          <w:trHeight w:val="10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Евиденција о поднетим пријавама против родитеља због нередовног похађања школе ученика и о пријавама ученика који су престали да похађају</w:t>
            </w:r>
          </w:p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школу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Документација у вези ослобођења ученика од наставе физичког васпитања (предлози лекара, одлуке Наставничког већа)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Документација у вези изрицања васпитно-дисциплинских мера ученицима (одлуке, приговори на одлуке и др.)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Остале евиденције у вези ученика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Уверења издата на тражење ученика и других организација у вези ученика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Разни захтеви органима школе у вези ученика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Књига наредби – саопштења ученицима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Анкете о учењу страног језика и све остале анкете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године</w:t>
            </w:r>
          </w:p>
        </w:tc>
      </w:tr>
      <w:tr w:rsidR="004527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4527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Књига дежурства у школи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64" w:rsidRDefault="00774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године</w:t>
            </w:r>
          </w:p>
        </w:tc>
      </w:tr>
    </w:tbl>
    <w:p w:rsidR="00452764" w:rsidRDefault="00452764">
      <w:pPr>
        <w:widowControl/>
      </w:pPr>
    </w:p>
    <w:p w:rsidR="00452764" w:rsidRDefault="00452764">
      <w:pPr>
        <w:widowControl/>
      </w:pPr>
    </w:p>
    <w:p w:rsidR="00452764" w:rsidRDefault="00774834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Ова Листа ступа на снагу када се са њом сагласи Историјски архив Београда, а примењиваће се на архивску грађу и документарни материјал који су настали у раду </w:t>
      </w:r>
      <w:r w:rsidR="001D462B">
        <w:rPr>
          <w:rFonts w:ascii="Times New Roman" w:eastAsia="Times New Roman" w:hAnsi="Times New Roman" w:cs="Times New Roman"/>
          <w:b/>
        </w:rPr>
        <w:t xml:space="preserve">Алексиначке гмназије у Алексинцу, </w:t>
      </w:r>
      <w:r>
        <w:rPr>
          <w:rFonts w:ascii="Times New Roman" w:eastAsia="Times New Roman" w:hAnsi="Times New Roman" w:cs="Times New Roman"/>
        </w:rPr>
        <w:t>од оснивања до данашњег дана, а такође и на архивску грађу и документарни материјал који ће се формирати у наредном периоду.</w:t>
      </w:r>
    </w:p>
    <w:p w:rsidR="00452764" w:rsidRDefault="00452764">
      <w:pPr>
        <w:widowControl/>
      </w:pPr>
    </w:p>
    <w:p w:rsidR="00452764" w:rsidRDefault="00452764">
      <w:pPr>
        <w:widowControl/>
      </w:pPr>
    </w:p>
    <w:p w:rsidR="00452764" w:rsidRDefault="00452764">
      <w:pPr>
        <w:widowControl/>
      </w:pPr>
    </w:p>
    <w:p w:rsidR="00452764" w:rsidRDefault="00452764">
      <w:pPr>
        <w:widowControl/>
      </w:pPr>
    </w:p>
    <w:p w:rsidR="00452764" w:rsidRDefault="005B44DC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Ал</w:t>
      </w:r>
      <w:r w:rsidR="001D462B">
        <w:rPr>
          <w:rFonts w:ascii="Times New Roman" w:eastAsia="Times New Roman" w:hAnsi="Times New Roman" w:cs="Times New Roman"/>
        </w:rPr>
        <w:t>ексинцу, .04</w:t>
      </w:r>
      <w:r w:rsidR="00774834">
        <w:rPr>
          <w:rFonts w:ascii="Times New Roman" w:eastAsia="Times New Roman" w:hAnsi="Times New Roman" w:cs="Times New Roman"/>
        </w:rPr>
        <w:t xml:space="preserve">.2021. године                            </w:t>
      </w:r>
      <w:r w:rsidR="001D462B" w:rsidRPr="001D462B">
        <w:rPr>
          <w:rFonts w:ascii="Times New Roman" w:eastAsia="Times New Roman" w:hAnsi="Times New Roman" w:cs="Times New Roman"/>
        </w:rPr>
        <w:t>Председник Школског одбора</w:t>
      </w:r>
      <w:r w:rsidR="00774834">
        <w:rPr>
          <w:rFonts w:ascii="Times New Roman" w:eastAsia="Times New Roman" w:hAnsi="Times New Roman" w:cs="Times New Roman"/>
        </w:rPr>
        <w:t xml:space="preserve"> </w:t>
      </w:r>
    </w:p>
    <w:p w:rsidR="00452764" w:rsidRDefault="00774834">
      <w:pPr>
        <w:widowControl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 w:rsidR="001D462B">
        <w:rPr>
          <w:rFonts w:ascii="Times New Roman" w:eastAsia="Times New Roman" w:hAnsi="Times New Roman" w:cs="Times New Roman"/>
        </w:rPr>
        <w:t xml:space="preserve">                               Тамара Франета</w:t>
      </w:r>
      <w:r>
        <w:rPr>
          <w:b/>
        </w:rPr>
        <w:t xml:space="preserve">            </w:t>
      </w:r>
    </w:p>
    <w:p w:rsidR="00452764" w:rsidRDefault="00452764">
      <w:pPr>
        <w:widowControl/>
      </w:pPr>
    </w:p>
    <w:p w:rsidR="00452764" w:rsidRDefault="00452764">
      <w:pPr>
        <w:widowControl/>
        <w:rPr>
          <w:sz w:val="20"/>
          <w:szCs w:val="20"/>
        </w:rPr>
      </w:pPr>
    </w:p>
    <w:p w:rsidR="00452764" w:rsidRDefault="00452764">
      <w:pPr>
        <w:widowControl/>
        <w:rPr>
          <w:sz w:val="20"/>
          <w:szCs w:val="20"/>
        </w:rPr>
      </w:pPr>
    </w:p>
    <w:p w:rsidR="00452764" w:rsidRDefault="00774834">
      <w:pPr>
        <w:widowControl/>
        <w:rPr>
          <w:sz w:val="20"/>
          <w:szCs w:val="20"/>
        </w:rPr>
        <w:sectPr w:rsidR="00452764">
          <w:headerReference w:type="default" r:id="rId7"/>
          <w:pgSz w:w="12240" w:h="15840"/>
          <w:pgMar w:top="993" w:right="2342" w:bottom="528" w:left="1829" w:header="720" w:footer="720" w:gutter="0"/>
          <w:pgNumType w:start="1"/>
          <w:cols w:space="720"/>
        </w:sectPr>
      </w:pPr>
      <w:r>
        <w:rPr>
          <w:b/>
          <w:sz w:val="20"/>
          <w:szCs w:val="20"/>
        </w:rPr>
        <w:t xml:space="preserve">                               </w:t>
      </w:r>
    </w:p>
    <w:p w:rsidR="00452764" w:rsidRDefault="00774834">
      <w:pPr>
        <w:widowControl/>
        <w:rPr>
          <w:sz w:val="2"/>
          <w:szCs w:val="2"/>
        </w:rPr>
        <w:sectPr w:rsidR="00452764">
          <w:pgSz w:w="12240" w:h="15840"/>
          <w:pgMar w:top="1330" w:right="2357" w:bottom="379" w:left="1838" w:header="720" w:footer="720" w:gutter="0"/>
          <w:cols w:space="720"/>
        </w:sect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6400800" distR="6400800" simplePos="0" relativeHeight="251658240" behindDoc="0" locked="0" layoutInCell="1" hidden="0" allowOverlap="1">
                <wp:simplePos x="0" y="0"/>
                <wp:positionH relativeFrom="column">
                  <wp:posOffset>65407</wp:posOffset>
                </wp:positionH>
                <wp:positionV relativeFrom="paragraph">
                  <wp:posOffset>-41908</wp:posOffset>
                </wp:positionV>
                <wp:extent cx="5043170" cy="9015095"/>
                <wp:effectExtent l="0" t="0" r="0" b="0"/>
                <wp:wrapTopAndBottom distT="0" dist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170" cy="9015095"/>
                          <a:chOff x="1838" y="1330"/>
                          <a:chExt cx="8045" cy="14131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838" y="1652"/>
                            <a:ext cx="8045" cy="13810"/>
                          </a:xfrm>
                          <a:prstGeom prst="rect">
                            <a:avLst/>
                          </a:prstGeom>
                          <a:noFill/>
                          <a:ln cap="flat" cmpd="sng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462B" w:rsidRDefault="001D462B">
                              <w:pPr>
                                <w:suppressAutoHyphens/>
                                <w:spacing w:line="1" w:lineRule="atLeast"/>
                                <w:ind w:leftChars="-1" w:hangingChars="1" w:hanging="2"/>
                                <w:textDirection w:val="btLr"/>
                                <w:textAlignment w:val="top"/>
                                <w:outlineLvl w:val="0"/>
                                <w:rPr>
                                  <w:position w:val="-1"/>
                                </w:rPr>
                              </w:pPr>
                            </w:p>
                            <w:p w:rsidR="001D462B" w:rsidRDefault="001D462B">
                              <w:pPr>
                                <w:widowControl/>
                                <w:suppressAutoHyphens/>
                                <w:spacing w:line="1" w:lineRule="atLeast"/>
                                <w:ind w:leftChars="-1" w:hangingChars="1" w:hanging="2"/>
                                <w:textDirection w:val="btLr"/>
                                <w:textAlignment w:val="top"/>
                                <w:outlineLvl w:val="0"/>
                                <w:rPr>
                                  <w:position w:val="-1"/>
                                  <w:lang w:eastAsia="sr-Cyrl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078" y="1330"/>
                            <a:ext cx="4551" cy="230"/>
                          </a:xfrm>
                          <a:prstGeom prst="rect">
                            <a:avLst/>
                          </a:prstGeom>
                          <a:noFill/>
                          <a:ln cap="flat" cmpd="sng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462B" w:rsidRDefault="001D462B">
                              <w:pPr>
                                <w:widowControl/>
                                <w:tabs>
                                  <w:tab w:val="left" w:pos="1531"/>
                                </w:tabs>
                                <w:suppressAutoHyphens/>
                                <w:ind w:leftChars="-1" w:hangingChars="1" w:hanging="2"/>
                                <w:jc w:val="both"/>
                                <w:textDirection w:val="btLr"/>
                                <w:textAlignment w:val="top"/>
                                <w:outlineLvl w:val="0"/>
                                <w:rPr>
                                  <w:position w:val="-1"/>
                                  <w:lang w:eastAsia="sr-Cyrl"/>
                                </w:rPr>
                              </w:pPr>
                            </w:p>
                            <w:p w:rsidR="001D462B" w:rsidRDefault="001D462B">
                              <w:pPr>
                                <w:widowControl/>
                                <w:tabs>
                                  <w:tab w:val="left" w:pos="1531"/>
                                </w:tabs>
                                <w:suppressAutoHyphens/>
                                <w:ind w:leftChars="-1" w:hangingChars="1" w:hanging="2"/>
                                <w:jc w:val="both"/>
                                <w:textDirection w:val="btLr"/>
                                <w:textAlignment w:val="top"/>
                                <w:outlineLvl w:val="0"/>
                                <w:rPr>
                                  <w:position w:val="-1"/>
                                  <w:lang w:eastAsia="sr-Cyrl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5.15pt;margin-top:-3.3pt;width:397.1pt;height:709.85pt;z-index:251658240;mso-wrap-distance-left:7in;mso-wrap-distance-right:7in" coordorigin="1838,1330" coordsize="8045,1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838;top:1652;width:8045;height:1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MqcQA&#10;AADaAAAADwAAAGRycy9kb3ducmV2LnhtbESPzWrDMBCE74G+g9hCL6GRG4IxbpRQCoX24DQ/foDF&#10;2lhOrZWxFNt5+6hQ6HGYmW+Y9XayrRio941jBS+LBARx5XTDtYLy9PGcgfABWWPrmBTcyMN28zBb&#10;Y67dyAcajqEWEcI+RwUmhC6X0leGLPqF64ijd3a9xRBlX0vd4xjhtpXLJEmlxYbjgsGO3g1VP8er&#10;VXD4Mvs5r4qi1XJIL+Xu+j1mc6WeHqe3VxCBpvAf/mt/agVL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TKnEAAAA2gAAAA8AAAAAAAAAAAAAAAAAmAIAAGRycy9k&#10;b3ducmV2LnhtbFBLBQYAAAAABAAEAPUAAACJAwAAAAA=&#10;" filled="f" strokecolor="white">
                  <v:textbox>
                    <w:txbxContent>
                      <w:p w:rsidR="001D462B" w:rsidRDefault="001D462B">
                        <w:pPr>
                          <w:suppressAutoHyphens/>
                          <w:spacing w:line="1" w:lineRule="atLeast"/>
                          <w:ind w:leftChars="-1" w:hangingChars="1" w:hanging="2"/>
                          <w:textDirection w:val="btLr"/>
                          <w:textAlignment w:val="top"/>
                          <w:outlineLvl w:val="0"/>
                          <w:rPr>
                            <w:position w:val="-1"/>
                          </w:rPr>
                        </w:pPr>
                      </w:p>
                      <w:p w:rsidR="001D462B" w:rsidRDefault="001D462B">
                        <w:pPr>
                          <w:widowControl/>
                          <w:suppressAutoHyphens/>
                          <w:spacing w:line="1" w:lineRule="atLeast"/>
                          <w:ind w:leftChars="-1" w:hangingChars="1" w:hanging="2"/>
                          <w:textDirection w:val="btLr"/>
                          <w:textAlignment w:val="top"/>
                          <w:outlineLvl w:val="0"/>
                          <w:rPr>
                            <w:position w:val="-1"/>
                            <w:lang w:eastAsia="sr-Cyrl"/>
                          </w:rPr>
                        </w:pPr>
                      </w:p>
                    </w:txbxContent>
                  </v:textbox>
                </v:shape>
                <v:shape id="Text Box 3" o:spid="_x0000_s1028" type="#_x0000_t202" style="position:absolute;left:2078;top:1330;width:455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pMsMA&#10;AADaAAAADwAAAGRycy9kb3ducmV2LnhtbESP0WrCQBRE34X+w3ILfZG6sYpI6ipFEPRBbawfcMne&#10;ZtNm74bsmsS/dwXBx2FmzjCLVW8r0VLjS8cKxqMEBHHudMmFgvPP5n0OwgdkjZVjUnAlD6vly2CB&#10;qXYdZ9SeQiEihH2KCkwIdSqlzw1Z9CNXE0fv1zUWQ5RNIXWDXYTbSn4kyUxaLDkuGKxpbSj/P12s&#10;gmxnvoc83e8rLdvZ3/lwOXbzoVJvr/3XJ4hAfXiGH+2tVjCB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fpMsMAAADaAAAADwAAAAAAAAAAAAAAAACYAgAAZHJzL2Rv&#10;d25yZXYueG1sUEsFBgAAAAAEAAQA9QAAAIgDAAAAAA==&#10;" filled="f" strokecolor="white">
                  <v:textbox>
                    <w:txbxContent>
                      <w:p w:rsidR="001D462B" w:rsidRDefault="001D462B">
                        <w:pPr>
                          <w:widowControl/>
                          <w:tabs>
                            <w:tab w:val="left" w:pos="1531"/>
                          </w:tabs>
                          <w:suppressAutoHyphens/>
                          <w:ind w:leftChars="-1" w:hangingChars="1" w:hanging="2"/>
                          <w:jc w:val="both"/>
                          <w:textDirection w:val="btLr"/>
                          <w:textAlignment w:val="top"/>
                          <w:outlineLvl w:val="0"/>
                          <w:rPr>
                            <w:position w:val="-1"/>
                            <w:lang w:eastAsia="sr-Cyrl"/>
                          </w:rPr>
                        </w:pPr>
                      </w:p>
                      <w:p w:rsidR="001D462B" w:rsidRDefault="001D462B">
                        <w:pPr>
                          <w:widowControl/>
                          <w:tabs>
                            <w:tab w:val="left" w:pos="1531"/>
                          </w:tabs>
                          <w:suppressAutoHyphens/>
                          <w:ind w:leftChars="-1" w:hangingChars="1" w:hanging="2"/>
                          <w:jc w:val="both"/>
                          <w:textDirection w:val="btLr"/>
                          <w:textAlignment w:val="top"/>
                          <w:outlineLvl w:val="0"/>
                          <w:rPr>
                            <w:position w:val="-1"/>
                            <w:lang w:eastAsia="sr-Cyrl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452764" w:rsidRDefault="00452764"/>
    <w:sectPr w:rsidR="00452764">
      <w:pgSz w:w="12240" w:h="15840"/>
      <w:pgMar w:top="2616" w:right="2299" w:bottom="1440" w:left="18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3F" w:rsidRDefault="0078053F">
      <w:r>
        <w:separator/>
      </w:r>
    </w:p>
  </w:endnote>
  <w:endnote w:type="continuationSeparator" w:id="0">
    <w:p w:rsidR="0078053F" w:rsidRDefault="0078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3F" w:rsidRDefault="0078053F">
      <w:r>
        <w:separator/>
      </w:r>
    </w:p>
  </w:footnote>
  <w:footnote w:type="continuationSeparator" w:id="0">
    <w:p w:rsidR="0078053F" w:rsidRDefault="00780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2B" w:rsidRDefault="001D46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D5A10"/>
    <w:multiLevelType w:val="multilevel"/>
    <w:tmpl w:val="A568152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64"/>
    <w:rsid w:val="000F0356"/>
    <w:rsid w:val="001B35A1"/>
    <w:rsid w:val="001D462B"/>
    <w:rsid w:val="00452764"/>
    <w:rsid w:val="005172E5"/>
    <w:rsid w:val="005B44DC"/>
    <w:rsid w:val="00774834"/>
    <w:rsid w:val="0078053F"/>
    <w:rsid w:val="00913E57"/>
    <w:rsid w:val="00A6236D"/>
    <w:rsid w:val="00AD26FA"/>
    <w:rsid w:val="00DA1CE6"/>
    <w:rsid w:val="00D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D8026-9160-4F01-BA78-3D25BA06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sr-Cyr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2023-07-03T11:31:00Z</dcterms:created>
  <dcterms:modified xsi:type="dcterms:W3CDTF">2023-07-03T11:31:00Z</dcterms:modified>
</cp:coreProperties>
</file>